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F06" w:rsidRPr="00AF0F06" w:rsidRDefault="00AF0F06" w:rsidP="00AF0F06">
      <w:pPr>
        <w:ind w:firstLine="567"/>
        <w:jc w:val="both"/>
        <w:rPr>
          <w:color w:val="000000" w:themeColor="text1"/>
          <w:sz w:val="28"/>
        </w:rPr>
      </w:pPr>
      <w:r w:rsidRPr="00AF0F06">
        <w:rPr>
          <w:color w:val="000000" w:themeColor="text1"/>
          <w:sz w:val="28"/>
        </w:rPr>
        <w:t>1.5. Объектами муниципального контроля (далее – объект контроля) являются:</w:t>
      </w:r>
    </w:p>
    <w:p w:rsidR="00AF0F06" w:rsidRPr="00AF0F06" w:rsidRDefault="00AF0F06" w:rsidP="00AF0F06">
      <w:pPr>
        <w:ind w:firstLine="567"/>
        <w:jc w:val="both"/>
        <w:rPr>
          <w:color w:val="000000" w:themeColor="text1"/>
          <w:sz w:val="28"/>
        </w:rPr>
      </w:pPr>
      <w:proofErr w:type="gramStart"/>
      <w:r w:rsidRPr="00AF0F06">
        <w:rPr>
          <w:color w:val="000000" w:themeColor="text1"/>
          <w:sz w:val="28"/>
        </w:rPr>
        <w:t>1.5.1. деятельность, действия (бездействие) контролируемых лиц на автомобильном транспорте, городском наземном электрическом транспорте и в дорожном хозяйстве, в рамках,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  <w:proofErr w:type="gramEnd"/>
    </w:p>
    <w:p w:rsidR="00AF0F06" w:rsidRPr="00AF0F06" w:rsidRDefault="00AF0F06" w:rsidP="00AF0F06">
      <w:pPr>
        <w:ind w:firstLine="567"/>
        <w:jc w:val="both"/>
        <w:rPr>
          <w:color w:val="000000" w:themeColor="text1"/>
          <w:sz w:val="28"/>
        </w:rPr>
      </w:pPr>
      <w:r w:rsidRPr="00AF0F06">
        <w:rPr>
          <w:color w:val="000000" w:themeColor="text1"/>
          <w:sz w:val="28"/>
        </w:rPr>
        <w:t>1.5.2. результаты деятельности контролируемых лиц, в том числе работы и услуги, к которым предъявляются обязательные требования;</w:t>
      </w:r>
    </w:p>
    <w:p w:rsidR="00AF0F06" w:rsidRPr="00AF0F06" w:rsidRDefault="00AF0F06" w:rsidP="00AF0F06">
      <w:pPr>
        <w:ind w:firstLine="567"/>
        <w:jc w:val="both"/>
        <w:rPr>
          <w:color w:val="000000" w:themeColor="text1"/>
          <w:sz w:val="28"/>
        </w:rPr>
      </w:pPr>
      <w:r w:rsidRPr="00AF0F06">
        <w:rPr>
          <w:color w:val="000000" w:themeColor="text1"/>
          <w:sz w:val="28"/>
        </w:rPr>
        <w:t>1.5.3. 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1.4.Учет объектов контроля осуществляется посредством создания: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 xml:space="preserve">единого реестра контрольных мероприятий; 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информационной системы (подсистемы государственной информационной системы) досудебного обжалования;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p w:rsidR="00AD7650" w:rsidRPr="00A3203E" w:rsidRDefault="00AD7650" w:rsidP="00AD7650">
      <w:pPr>
        <w:ind w:firstLine="567"/>
        <w:jc w:val="both"/>
        <w:rPr>
          <w:sz w:val="28"/>
          <w:szCs w:val="28"/>
        </w:rPr>
      </w:pPr>
      <w:r w:rsidRPr="00A3203E">
        <w:rPr>
          <w:sz w:val="28"/>
          <w:szCs w:val="28"/>
        </w:rPr>
        <w:t>Администрацией в соответствии с частью 2 статьи 16 и частью 5 статьи 17 Федерального закона от 31 июля 2020 г. №248-ФЗ «О государственном контроле (надзоре) и муниципальном контроле в Российской Федерации» (далее – Федеральный закон №248-ФЗ) ведется учет объектов контроля с использованием информационной системы.</w:t>
      </w:r>
    </w:p>
    <w:p w:rsidR="0017470D" w:rsidRDefault="0017470D"/>
    <w:sectPr w:rsidR="0017470D" w:rsidSect="00174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650"/>
    <w:rsid w:val="0017470D"/>
    <w:rsid w:val="006919D8"/>
    <w:rsid w:val="00A353D0"/>
    <w:rsid w:val="00AD7650"/>
    <w:rsid w:val="00AF0F06"/>
    <w:rsid w:val="00B62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User</cp:lastModifiedBy>
  <cp:revision>3</cp:revision>
  <dcterms:created xsi:type="dcterms:W3CDTF">2025-11-14T11:49:00Z</dcterms:created>
  <dcterms:modified xsi:type="dcterms:W3CDTF">2026-08-17T12:45:00Z</dcterms:modified>
</cp:coreProperties>
</file>