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05B0" w:rsidRDefault="00D13754" w:rsidP="00170E2B">
            <w:pPr>
              <w:shd w:val="clear" w:color="auto" w:fill="FFFFFF"/>
              <w:spacing w:line="240" w:lineRule="auto"/>
              <w:ind w:firstLine="74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E2B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</w:t>
            </w:r>
            <w:r w:rsidR="00D105B0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D105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5B0">
              <w:rPr>
                <w:rFonts w:ascii="Times New Roman" w:hAnsi="Times New Roman"/>
                <w:sz w:val="24"/>
                <w:szCs w:val="24"/>
              </w:rPr>
              <w:t>«</w:t>
            </w:r>
            <w:r w:rsidR="00D105B0" w:rsidRPr="00D105B0">
              <w:rPr>
                <w:rFonts w:ascii="Times New Roman" w:hAnsi="Times New Roman"/>
                <w:bCs/>
                <w:sz w:val="24"/>
                <w:szCs w:val="24"/>
              </w:rPr>
              <w:t xml:space="preserve">Об установлении дополнительных оснований для признания безнадежной к взысканию недоимки, </w:t>
            </w:r>
            <w:proofErr w:type="spellStart"/>
            <w:r w:rsidR="00D105B0" w:rsidRPr="00D105B0">
              <w:rPr>
                <w:rFonts w:ascii="Times New Roman" w:hAnsi="Times New Roman"/>
                <w:bCs/>
                <w:sz w:val="24"/>
                <w:szCs w:val="24"/>
              </w:rPr>
              <w:t>задолженностипо</w:t>
            </w:r>
            <w:proofErr w:type="spellEnd"/>
            <w:r w:rsidR="00D105B0" w:rsidRPr="00D105B0">
              <w:rPr>
                <w:rFonts w:ascii="Times New Roman" w:hAnsi="Times New Roman"/>
                <w:bCs/>
                <w:sz w:val="24"/>
                <w:szCs w:val="24"/>
              </w:rPr>
              <w:t xml:space="preserve"> пеням и штрафам по местным</w:t>
            </w:r>
            <w:r w:rsidR="00D105B0" w:rsidRPr="00D1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5B0" w:rsidRPr="00D105B0">
              <w:rPr>
                <w:rFonts w:ascii="Times New Roman" w:hAnsi="Times New Roman"/>
                <w:bCs/>
                <w:sz w:val="24"/>
                <w:szCs w:val="24"/>
              </w:rPr>
              <w:t>налогам и сборам</w:t>
            </w:r>
            <w:r w:rsidR="004D4F02" w:rsidRPr="00D10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D105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0E2B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2782F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6A7199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D2F05"/>
    <w:rsid w:val="00CE4956"/>
    <w:rsid w:val="00D105B0"/>
    <w:rsid w:val="00D1115C"/>
    <w:rsid w:val="00D13754"/>
    <w:rsid w:val="00D63ECE"/>
    <w:rsid w:val="00DB0A45"/>
    <w:rsid w:val="00E17F5B"/>
    <w:rsid w:val="00E57616"/>
    <w:rsid w:val="00E6020B"/>
    <w:rsid w:val="00E70D1A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A7F07-46B4-4A86-93BC-A7D18A5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2018-03-15T08:09:00Z</dcterms:created>
  <dcterms:modified xsi:type="dcterms:W3CDTF">2018-03-15T08:09:00Z</dcterms:modified>
</cp:coreProperties>
</file>