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770D1B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790B35" w:rsidRDefault="00790B35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6F291C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6F291C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770D1B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770D1B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7E5028">
              <w:rPr>
                <w:sz w:val="20"/>
              </w:rPr>
              <w:t>Библиотека село Радищево  МКУК "Советский культурно-досуговый центр"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7E5028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7E5028">
              <w:rPr>
                <w:b/>
                <w:sz w:val="20"/>
              </w:rPr>
              <w:t xml:space="preserve">: </w:t>
            </w:r>
            <w:r w:rsidR="007E5028" w:rsidRPr="007E5028">
              <w:rPr>
                <w:sz w:val="20"/>
              </w:rPr>
              <w:t>улица Школьная, №6, село Радищево, Новокубанский район, Краснодарский край, 352209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7E5028" w:rsidP="007E502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7E5028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7E5028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кв</w:t>
            </w:r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7), кв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Техническое состояние помещений (из гр. 10), кв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188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188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7718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7718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 xml:space="preserve">, доступного для слепых и слабовидящих (да-1, нет-0)   (12)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удаленных пользова-телей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библиотечно-информацион-ных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509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509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3574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2920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654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стро-ки</w:t>
            </w:r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Выполне-но спра-вок и кон-суль-таций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располо-жения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инсталли-рованных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сетевых удален-ных лицен-зионных докумен-тов</w:t>
            </w: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получен-ных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11609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11609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4315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4315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1600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11609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11609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имеют инвалид-ность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финанси-рование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субсидий, представля-емых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поступле-ния от сдачи </w:t>
            </w:r>
            <w:r w:rsidRPr="00A903C2">
              <w:rPr>
                <w:sz w:val="20"/>
              </w:rPr>
              <w:br/>
              <w:t xml:space="preserve">имущест-ва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30306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312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30306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186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30306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303061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303061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303061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312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303061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8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7E5028" w:rsidRDefault="007E5028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7E5028" w:rsidRDefault="007E5028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7E5028" w:rsidRDefault="007E5028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7E5028" w:rsidRPr="00A903C2" w:rsidRDefault="007E5028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      С.В.Рафальчик</w:t>
            </w:r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7E5028" w:rsidP="007E502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89883604314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7E5028" w:rsidRPr="007E5028" w:rsidRDefault="00A903C2" w:rsidP="007E5028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Email</w:t>
            </w:r>
            <w:r w:rsidR="007E5028" w:rsidRPr="007E5028">
              <w:rPr>
                <w:sz w:val="20"/>
                <w:szCs w:val="24"/>
              </w:rPr>
              <w:t>:</w:t>
            </w:r>
            <w:r w:rsidR="007E5028">
              <w:rPr>
                <w:sz w:val="20"/>
                <w:szCs w:val="24"/>
                <w:lang w:val="en-US"/>
              </w:rPr>
              <w:t>biblioteka</w:t>
            </w:r>
            <w:r w:rsidR="007E5028" w:rsidRPr="007E5028">
              <w:rPr>
                <w:sz w:val="20"/>
                <w:szCs w:val="24"/>
              </w:rPr>
              <w:t>.</w:t>
            </w:r>
            <w:r w:rsidR="007E5028">
              <w:rPr>
                <w:sz w:val="20"/>
                <w:szCs w:val="24"/>
                <w:lang w:val="en-US"/>
              </w:rPr>
              <w:t>radishevo</w:t>
            </w:r>
            <w:r w:rsidR="007E5028" w:rsidRPr="007E5028">
              <w:rPr>
                <w:sz w:val="20"/>
                <w:szCs w:val="24"/>
              </w:rPr>
              <w:t>@</w:t>
            </w:r>
          </w:p>
          <w:p w:rsidR="00A903C2" w:rsidRPr="007E5028" w:rsidRDefault="007E5028" w:rsidP="007E502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yandex</w:t>
            </w:r>
            <w:r w:rsidRPr="007E502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283" w:type="dxa"/>
          </w:tcPr>
          <w:p w:rsidR="00A903C2" w:rsidRPr="007E5028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7E5028" w:rsidP="007E502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>
              <w:rPr>
                <w:sz w:val="20"/>
                <w:szCs w:val="24"/>
                <w:lang w:val="en-US"/>
              </w:rPr>
              <w:t>17</w:t>
            </w:r>
            <w:r w:rsidR="00A903C2" w:rsidRPr="00A903C2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</w:rPr>
              <w:t xml:space="preserve">января </w:t>
            </w:r>
            <w:r w:rsidR="00A903C2" w:rsidRPr="00A903C2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A903C2"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566EEC" w:rsidRPr="007E5028" w:rsidRDefault="00A903C2" w:rsidP="007E5028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  <w:r w:rsidR="00770D1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7E5028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1B" w:rsidRDefault="00770D1B">
      <w:r>
        <w:separator/>
      </w:r>
    </w:p>
  </w:endnote>
  <w:endnote w:type="continuationSeparator" w:id="0">
    <w:p w:rsidR="00770D1B" w:rsidRDefault="0077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1B" w:rsidRDefault="00770D1B">
      <w:r>
        <w:separator/>
      </w:r>
    </w:p>
  </w:footnote>
  <w:footnote w:type="continuationSeparator" w:id="0">
    <w:p w:rsidR="00770D1B" w:rsidRDefault="0077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6F29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0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B35" w:rsidRDefault="00790B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6F291C">
    <w:pPr>
      <w:pStyle w:val="a3"/>
      <w:jc w:val="center"/>
    </w:pPr>
    <w:r>
      <w:fldChar w:fldCharType="begin"/>
    </w:r>
    <w:r w:rsidR="00790B35">
      <w:instrText>PAGE   \* MERGEFORMAT</w:instrText>
    </w:r>
    <w:r>
      <w:fldChar w:fldCharType="separate"/>
    </w:r>
    <w:r w:rsidR="00303061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790B35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790B35" w:rsidRPr="00E358F2" w:rsidRDefault="00790B35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790B35" w:rsidRDefault="00790B35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926E8"/>
    <w:rsid w:val="001B2E56"/>
    <w:rsid w:val="001C1F06"/>
    <w:rsid w:val="001C7FDE"/>
    <w:rsid w:val="001E7696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03061"/>
    <w:rsid w:val="00313A28"/>
    <w:rsid w:val="0032380C"/>
    <w:rsid w:val="00344E62"/>
    <w:rsid w:val="00355733"/>
    <w:rsid w:val="00374168"/>
    <w:rsid w:val="00390CEB"/>
    <w:rsid w:val="003915FA"/>
    <w:rsid w:val="0039191E"/>
    <w:rsid w:val="00394734"/>
    <w:rsid w:val="00397DD5"/>
    <w:rsid w:val="003A1F13"/>
    <w:rsid w:val="003B1639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50B81"/>
    <w:rsid w:val="00554FBF"/>
    <w:rsid w:val="00557BE2"/>
    <w:rsid w:val="00566EEC"/>
    <w:rsid w:val="00571DA1"/>
    <w:rsid w:val="00577001"/>
    <w:rsid w:val="0058669A"/>
    <w:rsid w:val="005A591D"/>
    <w:rsid w:val="005B4BF1"/>
    <w:rsid w:val="005B7E0B"/>
    <w:rsid w:val="005C721C"/>
    <w:rsid w:val="00637E59"/>
    <w:rsid w:val="0064772E"/>
    <w:rsid w:val="00652DCA"/>
    <w:rsid w:val="006564D2"/>
    <w:rsid w:val="0066615D"/>
    <w:rsid w:val="00670053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6F291C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70D1B"/>
    <w:rsid w:val="00790471"/>
    <w:rsid w:val="00790B35"/>
    <w:rsid w:val="007A7A63"/>
    <w:rsid w:val="007C09FD"/>
    <w:rsid w:val="007C17CE"/>
    <w:rsid w:val="007D68F1"/>
    <w:rsid w:val="007E1D6A"/>
    <w:rsid w:val="007E5028"/>
    <w:rsid w:val="007F2623"/>
    <w:rsid w:val="008104BB"/>
    <w:rsid w:val="00814077"/>
    <w:rsid w:val="00871916"/>
    <w:rsid w:val="00892F57"/>
    <w:rsid w:val="008C716A"/>
    <w:rsid w:val="008D64BB"/>
    <w:rsid w:val="008F4DA9"/>
    <w:rsid w:val="00902813"/>
    <w:rsid w:val="0090441E"/>
    <w:rsid w:val="00920B6D"/>
    <w:rsid w:val="009251FE"/>
    <w:rsid w:val="00933FDF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30717"/>
    <w:rsid w:val="00B638A7"/>
    <w:rsid w:val="00B82886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EF4E46BA-0046-42B6-BE3B-71F23309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1C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6F29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F291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F291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6F291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6F29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F29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6F291C"/>
  </w:style>
  <w:style w:type="paragraph" w:styleId="a6">
    <w:name w:val="Body Text"/>
    <w:basedOn w:val="a"/>
    <w:link w:val="a7"/>
    <w:uiPriority w:val="99"/>
    <w:rsid w:val="006F291C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6F291C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6F291C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6F291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6F291C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6F291C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6F291C"/>
    <w:pPr>
      <w:spacing w:after="120" w:line="480" w:lineRule="auto"/>
    </w:pPr>
  </w:style>
  <w:style w:type="paragraph" w:customStyle="1" w:styleId="FR1">
    <w:name w:val="FR1"/>
    <w:uiPriority w:val="99"/>
    <w:rsid w:val="006F291C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4E5-2A7F-4D55-B9BA-211E45E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12203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20</cp:revision>
  <cp:lastPrinted>2018-11-06T11:11:00Z</cp:lastPrinted>
  <dcterms:created xsi:type="dcterms:W3CDTF">2019-01-05T09:57:00Z</dcterms:created>
  <dcterms:modified xsi:type="dcterms:W3CDTF">2019-01-17T11:46:00Z</dcterms:modified>
</cp:coreProperties>
</file>