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252FF6" w:rsidRPr="00252FF6">
                    <w:rPr>
                      <w:rFonts w:ascii="Times New Roman" w:hAnsi="Times New Roman"/>
                      <w:sz w:val="28"/>
                      <w:szCs w:val="28"/>
                    </w:rPr>
                    <w:t>Об обеспечении доступа граждан и организаций к информации о деятельности администрации Советского сельского поселения Новокубанского района и подведомственных ей организаций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252FF6" w:rsidRPr="00252FF6">
                    <w:rPr>
                      <w:rFonts w:ascii="Times New Roman" w:hAnsi="Times New Roman"/>
                      <w:sz w:val="28"/>
                      <w:szCs w:val="28"/>
                    </w:rPr>
                    <w:t>Об обеспечении доступа граждан и организаций к информации о деятельности администрации Советского сельского поселения Новокубанского района и подведомственных ей организаций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2023-05-12T08:03:00Z</dcterms:created>
  <dcterms:modified xsi:type="dcterms:W3CDTF">2023-05-12T08:03:00Z</dcterms:modified>
</cp:coreProperties>
</file>