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Default="0014415E" w:rsidP="0014415E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и дополнениями от 27 января 2021 года № 11, от 15 марта 2022 года № 24</w:t>
      </w:r>
      <w:r w:rsidR="00EC6F9A">
        <w:rPr>
          <w:sz w:val="28"/>
          <w:szCs w:val="28"/>
        </w:rPr>
        <w:t>, от 12 мая 2022 года № 50</w:t>
      </w:r>
      <w:r w:rsidR="00B03E2D">
        <w:rPr>
          <w:sz w:val="28"/>
          <w:szCs w:val="28"/>
        </w:rPr>
        <w:t>, от 20.12.2022 года № 166</w:t>
      </w:r>
      <w:r>
        <w:rPr>
          <w:sz w:val="28"/>
          <w:szCs w:val="28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Pr="00883E0F">
        <w:rPr>
          <w:sz w:val="28"/>
          <w:szCs w:val="28"/>
        </w:rPr>
        <w:t>приказом министерства финансов Ро</w:t>
      </w:r>
      <w:r>
        <w:rPr>
          <w:sz w:val="28"/>
          <w:szCs w:val="28"/>
        </w:rPr>
        <w:t xml:space="preserve">ссийской Федерации </w:t>
      </w:r>
      <w:r w:rsidRPr="00883E0F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83E0F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9</w:t>
      </w:r>
      <w:r w:rsidRPr="00883E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85</w:t>
      </w:r>
      <w:r w:rsidRPr="00883E0F">
        <w:rPr>
          <w:sz w:val="28"/>
          <w:szCs w:val="28"/>
        </w:rPr>
        <w:t>н «</w:t>
      </w:r>
      <w:r w:rsidRPr="00154E5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приказом Министерства финансов Российской Фе</w:t>
      </w:r>
      <w:r w:rsidR="005B7382">
        <w:rPr>
          <w:sz w:val="28"/>
          <w:szCs w:val="28"/>
        </w:rPr>
        <w:t>дерации от 8 июня 2021 года № 7</w:t>
      </w:r>
      <w:r w:rsidRPr="00423B20">
        <w:rPr>
          <w:sz w:val="28"/>
          <w:szCs w:val="28"/>
        </w:rPr>
        <w:t>5н «Об утверждении кодов (перечней кодов) бюджетной классификации Российской Федерации на 2022 год</w:t>
      </w:r>
      <w:proofErr w:type="gramEnd"/>
      <w:r w:rsidRPr="00423B20">
        <w:rPr>
          <w:sz w:val="28"/>
          <w:szCs w:val="28"/>
        </w:rPr>
        <w:t xml:space="preserve"> (на 2022 год и на плановый период 2023 и 2024 годов)»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hyperlink r:id="rId8" w:history="1">
        <w:r w:rsidR="005B7382" w:rsidRPr="00021C5D">
          <w:rPr>
            <w:sz w:val="28"/>
            <w:szCs w:val="28"/>
          </w:rPr>
          <w:t>приказом</w:t>
        </w:r>
      </w:hyperlink>
      <w:r w:rsidR="005B7382" w:rsidRPr="00021C5D">
        <w:rPr>
          <w:sz w:val="28"/>
          <w:szCs w:val="28"/>
        </w:rPr>
        <w:t xml:space="preserve"> Министерства финансов Российской Федерации </w:t>
      </w:r>
      <w:r w:rsidR="005B7382" w:rsidRPr="00437C81">
        <w:rPr>
          <w:sz w:val="28"/>
          <w:szCs w:val="28"/>
        </w:rPr>
        <w:t>от 0</w:t>
      </w:r>
      <w:r w:rsidR="005B7382">
        <w:rPr>
          <w:sz w:val="28"/>
          <w:szCs w:val="28"/>
        </w:rPr>
        <w:t>6</w:t>
      </w:r>
      <w:r w:rsidR="005B7382" w:rsidRPr="00437C81">
        <w:rPr>
          <w:sz w:val="28"/>
          <w:szCs w:val="28"/>
        </w:rPr>
        <w:t xml:space="preserve"> июня 201</w:t>
      </w:r>
      <w:r w:rsidR="005B7382">
        <w:rPr>
          <w:sz w:val="28"/>
          <w:szCs w:val="28"/>
        </w:rPr>
        <w:t>9</w:t>
      </w:r>
      <w:r w:rsidR="005B7382" w:rsidRPr="00437C81">
        <w:rPr>
          <w:sz w:val="28"/>
          <w:szCs w:val="28"/>
        </w:rPr>
        <w:t xml:space="preserve"> года № </w:t>
      </w:r>
      <w:r w:rsidR="005B7382">
        <w:rPr>
          <w:sz w:val="28"/>
          <w:szCs w:val="28"/>
        </w:rPr>
        <w:t>85</w:t>
      </w:r>
      <w:r w:rsidR="005B7382" w:rsidRPr="00437C81">
        <w:rPr>
          <w:sz w:val="28"/>
          <w:szCs w:val="28"/>
        </w:rPr>
        <w:t>н «</w:t>
      </w:r>
      <w:r w:rsidR="005B7382" w:rsidRPr="00154E5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B7382">
        <w:rPr>
          <w:sz w:val="28"/>
          <w:szCs w:val="28"/>
        </w:rPr>
        <w:t>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lastRenderedPageBreak/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9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5B7382" w:rsidRPr="00423B20">
        <w:rPr>
          <w:sz w:val="28"/>
          <w:szCs w:val="28"/>
        </w:rPr>
        <w:t>приказом Министерства финансов Российской Фе</w:t>
      </w:r>
      <w:r w:rsidR="005B7382">
        <w:rPr>
          <w:sz w:val="28"/>
          <w:szCs w:val="28"/>
        </w:rPr>
        <w:t>дерации от 8 июня 2021 года № 7</w:t>
      </w:r>
      <w:r w:rsidR="005B7382" w:rsidRPr="00423B20">
        <w:rPr>
          <w:sz w:val="28"/>
          <w:szCs w:val="28"/>
        </w:rPr>
        <w:t>5н «Об утверждении кодов (перечней кодов) бюджетной классификации Российской Федерации на 2022</w:t>
      </w:r>
      <w:proofErr w:type="gramEnd"/>
      <w:r w:rsidR="005B7382" w:rsidRPr="00423B20">
        <w:rPr>
          <w:sz w:val="28"/>
          <w:szCs w:val="28"/>
        </w:rPr>
        <w:t xml:space="preserve"> год (на 2022 год и на плановый период 2023 и 2024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</w:t>
      </w:r>
      <w:r w:rsidRPr="001161FB">
        <w:rPr>
          <w:sz w:val="28"/>
          <w:szCs w:val="28"/>
        </w:rPr>
        <w:lastRenderedPageBreak/>
        <w:t xml:space="preserve">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>, включающим следующие коды направлений расходов 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lastRenderedPageBreak/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целевые межбюджетные трансферты, источником финансового обеспечения </w:t>
      </w:r>
      <w:r>
        <w:rPr>
          <w:sz w:val="28"/>
          <w:szCs w:val="28"/>
        </w:rPr>
        <w:lastRenderedPageBreak/>
        <w:t xml:space="preserve">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буквенно-цифрового ряда: 1, 2, 3, 4, 5, 6, 7, 8, 9, А, Б, В, Г, Д, Е, Ж, И, К, Л, М, </w:t>
      </w:r>
      <w:r>
        <w:rPr>
          <w:sz w:val="28"/>
          <w:szCs w:val="28"/>
        </w:rPr>
        <w:lastRenderedPageBreak/>
        <w:t xml:space="preserve">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5B7382" w:rsidRPr="005B7382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</w:t>
      </w:r>
      <w:proofErr w:type="gramEnd"/>
      <w:r w:rsidR="005B7382" w:rsidRPr="005B7382">
        <w:rPr>
          <w:rFonts w:ascii="Times New Roman" w:hAnsi="Times New Roman"/>
          <w:sz w:val="28"/>
          <w:szCs w:val="28"/>
        </w:rPr>
        <w:t xml:space="preserve"> на 2022 год (на 2022 год и на плановый период 2023 и 2024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50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Строительство, реконструкция, капитальный ремонт, ремонт автомобильных дорог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>, капитальный ремонт, ремонт автомобильных дорог 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EE0C50">
        <w:rPr>
          <w:snapToGrid w:val="0"/>
          <w:sz w:val="28"/>
          <w:szCs w:val="28"/>
        </w:rPr>
        <w:t>Развитие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р</w:t>
      </w:r>
      <w:r w:rsidRPr="00EE0C50">
        <w:rPr>
          <w:snapToGrid w:val="0"/>
          <w:sz w:val="28"/>
          <w:szCs w:val="28"/>
        </w:rPr>
        <w:t>азвитие</w:t>
      </w:r>
      <w:r>
        <w:rPr>
          <w:snapToGrid w:val="0"/>
          <w:sz w:val="28"/>
          <w:szCs w:val="28"/>
        </w:rPr>
        <w:t>м</w:t>
      </w:r>
      <w:r w:rsidRPr="00EE0C50">
        <w:rPr>
          <w:snapToGrid w:val="0"/>
          <w:sz w:val="28"/>
          <w:szCs w:val="28"/>
        </w:rPr>
        <w:t xml:space="preserve">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lastRenderedPageBreak/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</w:t>
      </w:r>
      <w:r w:rsidRPr="00464612">
        <w:rPr>
          <w:sz w:val="28"/>
          <w:szCs w:val="28"/>
        </w:rPr>
        <w:lastRenderedPageBreak/>
        <w:t xml:space="preserve">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9618AA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спорта»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спорта»</w:t>
      </w:r>
      <w:r>
        <w:rPr>
          <w:snapToGrid w:val="0"/>
          <w:sz w:val="28"/>
          <w:szCs w:val="28"/>
        </w:rPr>
        <w:t xml:space="preserve"> </w:t>
      </w:r>
    </w:p>
    <w:p w:rsidR="00EC6F9A" w:rsidRPr="009618AA" w:rsidRDefault="00EC6F9A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E3024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>1012</w:t>
      </w:r>
      <w:r>
        <w:rPr>
          <w:snapToGrid w:val="0"/>
          <w:sz w:val="28"/>
          <w:szCs w:val="28"/>
        </w:rPr>
        <w:t>0</w:t>
      </w:r>
      <w:r w:rsidRPr="009618AA">
        <w:rPr>
          <w:snapToGrid w:val="0"/>
          <w:sz w:val="28"/>
          <w:szCs w:val="28"/>
        </w:rPr>
        <w:t xml:space="preserve"> </w:t>
      </w:r>
      <w:r w:rsidRPr="00AC44CC">
        <w:rPr>
          <w:sz w:val="28"/>
          <w:szCs w:val="28"/>
        </w:rPr>
        <w:t xml:space="preserve">Реализация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спорта».</w:t>
      </w:r>
    </w:p>
    <w:p w:rsidR="00582484" w:rsidRPr="009618AA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 w:rsidRPr="009618AA"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582484" w:rsidRPr="009D1567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10240 Реализация мероприятий муниципальной программы </w:t>
      </w:r>
      <w:r w:rsidRPr="0085443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«Молодежь Кубани».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</w:t>
      </w:r>
      <w:r w:rsidRPr="00854438">
        <w:rPr>
          <w:sz w:val="28"/>
          <w:szCs w:val="28"/>
        </w:rPr>
        <w:t xml:space="preserve">Советского сельского </w:t>
      </w:r>
      <w:r w:rsidRPr="00854438">
        <w:rPr>
          <w:snapToGrid w:val="0"/>
          <w:sz w:val="28"/>
          <w:szCs w:val="28"/>
        </w:rPr>
        <w:t xml:space="preserve">поселения </w:t>
      </w:r>
      <w:proofErr w:type="spellStart"/>
      <w:r w:rsidRPr="00854438">
        <w:rPr>
          <w:snapToGrid w:val="0"/>
          <w:sz w:val="28"/>
          <w:szCs w:val="28"/>
        </w:rPr>
        <w:t>Новокубанского</w:t>
      </w:r>
      <w:proofErr w:type="spellEnd"/>
      <w:r w:rsidRPr="0085443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lastRenderedPageBreak/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Обеспечение деятельности </w:t>
      </w:r>
      <w:r>
        <w:rPr>
          <w:b/>
          <w:snapToGrid w:val="0"/>
          <w:sz w:val="28"/>
          <w:szCs w:val="28"/>
        </w:rPr>
        <w:t>органов местного самоуправления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lastRenderedPageBreak/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10050 - </w:t>
      </w:r>
      <w:r w:rsidRPr="00EC2F8C">
        <w:rPr>
          <w:sz w:val="28"/>
          <w:szCs w:val="28"/>
        </w:rPr>
        <w:t>Прочие обязательства администрации 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</w:t>
      </w:r>
      <w:r>
        <w:rPr>
          <w:sz w:val="28"/>
          <w:szCs w:val="28"/>
        </w:rPr>
        <w:lastRenderedPageBreak/>
        <w:t xml:space="preserve">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lastRenderedPageBreak/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приказом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 на 2022 год</w:t>
      </w:r>
      <w:proofErr w:type="gramEnd"/>
      <w:r w:rsidR="005B7382" w:rsidRPr="005B7382">
        <w:rPr>
          <w:b/>
          <w:sz w:val="28"/>
          <w:szCs w:val="28"/>
        </w:rPr>
        <w:t xml:space="preserve"> (на 2022 год и на плановый период 2023 и 2024 годов)»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Pr="00930A7D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C6F9A" w:rsidRDefault="00EC6F9A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Pr="00AC7170" w:rsidRDefault="00582484" w:rsidP="00582484">
      <w:pPr>
        <w:rPr>
          <w:snapToGrid w:val="0"/>
          <w:sz w:val="28"/>
          <w:szCs w:val="28"/>
        </w:rPr>
      </w:pPr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p w:rsidR="00582484" w:rsidRDefault="00582484" w:rsidP="00582484"/>
    <w:sectPr w:rsidR="00582484" w:rsidSect="00561515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F9" w:rsidRDefault="00847EF9" w:rsidP="00561515">
      <w:r>
        <w:separator/>
      </w:r>
    </w:p>
  </w:endnote>
  <w:endnote w:type="continuationSeparator" w:id="0">
    <w:p w:rsidR="00847EF9" w:rsidRDefault="00847EF9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F9" w:rsidRDefault="00847EF9" w:rsidP="00561515">
      <w:r>
        <w:separator/>
      </w:r>
    </w:p>
  </w:footnote>
  <w:footnote w:type="continuationSeparator" w:id="0">
    <w:p w:rsidR="00847EF9" w:rsidRDefault="00847EF9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1220AD">
        <w:pPr>
          <w:pStyle w:val="aa"/>
          <w:jc w:val="center"/>
        </w:pPr>
        <w:fldSimple w:instr=" PAGE   \* MERGEFORMAT ">
          <w:r w:rsidR="00B03E2D">
            <w:rPr>
              <w:noProof/>
            </w:rPr>
            <w:t>10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12091E"/>
    <w:rsid w:val="001220AD"/>
    <w:rsid w:val="0014415E"/>
    <w:rsid w:val="00156475"/>
    <w:rsid w:val="00174234"/>
    <w:rsid w:val="001B212F"/>
    <w:rsid w:val="003D0D80"/>
    <w:rsid w:val="004242CB"/>
    <w:rsid w:val="00561515"/>
    <w:rsid w:val="005748A2"/>
    <w:rsid w:val="00582484"/>
    <w:rsid w:val="005A61AB"/>
    <w:rsid w:val="005B7382"/>
    <w:rsid w:val="00606AB5"/>
    <w:rsid w:val="006A7839"/>
    <w:rsid w:val="006B6CCE"/>
    <w:rsid w:val="00796361"/>
    <w:rsid w:val="00847EF9"/>
    <w:rsid w:val="00857748"/>
    <w:rsid w:val="00B038DE"/>
    <w:rsid w:val="00B03E2D"/>
    <w:rsid w:val="00B74B70"/>
    <w:rsid w:val="00C9758B"/>
    <w:rsid w:val="00CA603F"/>
    <w:rsid w:val="00CC04ED"/>
    <w:rsid w:val="00DA3FA4"/>
    <w:rsid w:val="00E3031F"/>
    <w:rsid w:val="00E44919"/>
    <w:rsid w:val="00E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71D03340EE773BD272130CB2A2819EDD2AA31DDAB6D6C46C149246779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12</cp:revision>
  <dcterms:created xsi:type="dcterms:W3CDTF">2022-02-14T13:42:00Z</dcterms:created>
  <dcterms:modified xsi:type="dcterms:W3CDTF">2022-12-20T13:57:00Z</dcterms:modified>
</cp:coreProperties>
</file>