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B71B72" w:rsidP="00302A81">
            <w:pPr>
              <w:pStyle w:val="a3"/>
              <w:jc w:val="both"/>
              <w:rPr>
                <w:rFonts w:ascii="Times New Roman" w:hAnsi="Times New Roman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hyperlink r:id="rId4" w:history="1">
              <w:r w:rsidR="00302A81" w:rsidRPr="00302A81">
                <w:rPr>
                  <w:rStyle w:val="a6"/>
                  <w:b/>
                  <w:bCs/>
                </w:rPr>
                <w:t xml:space="preserve"> </w:t>
              </w:r>
              <w:r w:rsidR="00302A81" w:rsidRPr="00302A81">
                <w:rPr>
                  <w:rStyle w:val="a6"/>
                  <w:b/>
                  <w:bCs/>
                  <w:color w:val="auto"/>
                </w:rPr>
                <w:t>«Об утверждении порядка сноса надмогильных сооружений (надгробий) и оград, установленных за пределами мест захоронений, на территории кладбищ</w:t>
              </w:r>
              <w:r w:rsidR="00302A81" w:rsidRPr="00302A81">
                <w:rPr>
                  <w:rStyle w:val="a6"/>
                  <w:b/>
                  <w:bCs/>
                </w:rPr>
                <w:t xml:space="preserve"> </w:t>
              </w:r>
            </w:hyperlink>
            <w:r w:rsidR="00302A81" w:rsidRPr="00302A81">
              <w:rPr>
                <w:rFonts w:ascii="Times New Roman" w:hAnsi="Times New Roman"/>
                <w:b/>
              </w:rPr>
              <w:t xml:space="preserve"> расположенных в Советском сельском поселении</w:t>
            </w:r>
            <w:proofErr w:type="gramEnd"/>
            <w:r w:rsidR="00302A81" w:rsidRPr="00302A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02A81" w:rsidRPr="00302A81">
              <w:rPr>
                <w:rFonts w:ascii="Times New Roman" w:hAnsi="Times New Roman"/>
                <w:b/>
              </w:rPr>
              <w:t>Новокубанского</w:t>
            </w:r>
            <w:proofErr w:type="spellEnd"/>
            <w:r w:rsidR="00302A81" w:rsidRPr="00302A81">
              <w:rPr>
                <w:rFonts w:ascii="Times New Roman" w:hAnsi="Times New Roman"/>
                <w:b/>
              </w:rPr>
              <w:t xml:space="preserve"> района»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361277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2020-01-24T06:16:00Z</cp:lastPrinted>
  <dcterms:created xsi:type="dcterms:W3CDTF">2020-01-24T06:18:00Z</dcterms:created>
  <dcterms:modified xsi:type="dcterms:W3CDTF">2020-01-24T06:18:00Z</dcterms:modified>
</cp:coreProperties>
</file>